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76D6" w:rsidRDefault="00FE76D6" w:rsidP="00F75C1F">
      <w:pPr>
        <w:ind w:right="-96"/>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867C0F" w:rsidTr="00057A0E">
        <w:trPr>
          <w:trHeight w:val="227"/>
        </w:trPr>
        <w:tc>
          <w:tcPr>
            <w:tcW w:w="1780" w:type="dxa"/>
          </w:tcPr>
          <w:p w:rsidR="00FE76D6"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047FBB5B" wp14:editId="334334E7">
                  <wp:extent cx="936625" cy="7607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3A6C22" w:rsidRDefault="003A6C22" w:rsidP="00F75C1F">
            <w:pPr>
              <w:pStyle w:val="GvdeMetni"/>
              <w:kinsoku w:val="0"/>
              <w:overflowPunct w:val="0"/>
              <w:spacing w:before="9"/>
              <w:ind w:left="0" w:right="-96" w:firstLine="0"/>
              <w:rPr>
                <w:rFonts w:ascii="Times New Roman" w:hAnsi="Times New Roman" w:cs="Times New Roman"/>
                <w:sz w:val="15"/>
                <w:szCs w:val="15"/>
              </w:rPr>
            </w:pPr>
          </w:p>
        </w:tc>
        <w:tc>
          <w:tcPr>
            <w:tcW w:w="6804" w:type="dxa"/>
            <w:gridSpan w:val="3"/>
          </w:tcPr>
          <w:p w:rsidR="00867C0F" w:rsidRPr="00FE2B0F" w:rsidRDefault="00867C0F" w:rsidP="00F75C1F">
            <w:pPr>
              <w:pStyle w:val="GvdeMetni"/>
              <w:kinsoku w:val="0"/>
              <w:overflowPunct w:val="0"/>
              <w:spacing w:before="9"/>
              <w:ind w:left="0" w:right="-96" w:firstLine="0"/>
              <w:rPr>
                <w:b/>
                <w:bCs/>
                <w:color w:val="FF0000"/>
                <w:sz w:val="20"/>
                <w:szCs w:val="20"/>
                <w:u w:val="single"/>
              </w:rPr>
            </w:pPr>
          </w:p>
          <w:p w:rsidR="004B307C" w:rsidRDefault="004B307C" w:rsidP="00F75C1F">
            <w:pPr>
              <w:pStyle w:val="GvdeMetni"/>
              <w:kinsoku w:val="0"/>
              <w:overflowPunct w:val="0"/>
              <w:spacing w:before="9"/>
              <w:ind w:left="0" w:right="-96" w:firstLine="0"/>
              <w:jc w:val="center"/>
              <w:rPr>
                <w:b/>
                <w:bCs/>
                <w:sz w:val="28"/>
                <w:szCs w:val="28"/>
              </w:rPr>
            </w:pPr>
            <w:r>
              <w:rPr>
                <w:b/>
                <w:bCs/>
                <w:sz w:val="28"/>
                <w:szCs w:val="28"/>
              </w:rPr>
              <w:t xml:space="preserve">BİLGİ KAYNAKLARI </w:t>
            </w:r>
          </w:p>
          <w:p w:rsidR="00FE2B0F" w:rsidRPr="00FE2B0F" w:rsidRDefault="004A2B58" w:rsidP="00F75C1F">
            <w:pPr>
              <w:pStyle w:val="GvdeMetni"/>
              <w:kinsoku w:val="0"/>
              <w:overflowPunct w:val="0"/>
              <w:spacing w:before="9"/>
              <w:ind w:left="0" w:right="-96" w:firstLine="0"/>
              <w:jc w:val="center"/>
              <w:rPr>
                <w:b/>
                <w:bCs/>
                <w:sz w:val="2"/>
                <w:szCs w:val="2"/>
              </w:rPr>
            </w:pPr>
            <w:r>
              <w:rPr>
                <w:b/>
                <w:bCs/>
                <w:sz w:val="28"/>
                <w:szCs w:val="28"/>
              </w:rPr>
              <w:t xml:space="preserve">ATIK VE İMHA YÖNETİMİ </w:t>
            </w:r>
            <w:r w:rsidR="00CE2166">
              <w:rPr>
                <w:b/>
                <w:bCs/>
                <w:sz w:val="28"/>
                <w:szCs w:val="28"/>
              </w:rPr>
              <w:t>PROSEDÜRÜ</w:t>
            </w:r>
          </w:p>
          <w:p w:rsidR="00867C0F" w:rsidRDefault="00867C0F" w:rsidP="00F75C1F">
            <w:pPr>
              <w:pStyle w:val="GvdeMetni"/>
              <w:kinsoku w:val="0"/>
              <w:overflowPunct w:val="0"/>
              <w:spacing w:before="9"/>
              <w:ind w:left="0" w:right="-96" w:firstLine="0"/>
              <w:jc w:val="center"/>
              <w:rPr>
                <w:rFonts w:ascii="Times New Roman" w:hAnsi="Times New Roman" w:cs="Times New Roman"/>
                <w:sz w:val="15"/>
                <w:szCs w:val="15"/>
              </w:rPr>
            </w:pPr>
          </w:p>
        </w:tc>
        <w:tc>
          <w:tcPr>
            <w:tcW w:w="1701" w:type="dxa"/>
          </w:tcPr>
          <w:p w:rsidR="00867C0F" w:rsidRDefault="007C74F7" w:rsidP="00F75C1F">
            <w:pPr>
              <w:pStyle w:val="GvdeMetni"/>
              <w:kinsoku w:val="0"/>
              <w:overflowPunct w:val="0"/>
              <w:spacing w:before="9"/>
              <w:ind w:left="0" w:right="-96" w:firstLine="0"/>
              <w:jc w:val="center"/>
              <w:rPr>
                <w:rFonts w:ascii="Times New Roman" w:hAnsi="Times New Roman" w:cs="Times New Roman"/>
                <w:sz w:val="15"/>
                <w:szCs w:val="15"/>
              </w:rPr>
            </w:pPr>
            <w:r>
              <w:rPr>
                <w:rFonts w:ascii="Times New Roman" w:hAnsi="Times New Roman" w:cs="Times New Roman"/>
                <w:noProof/>
                <w:sz w:val="15"/>
                <w:szCs w:val="15"/>
              </w:rPr>
              <w:drawing>
                <wp:inline distT="0" distB="0" distL="0" distR="0" wp14:anchorId="34514727" wp14:editId="2D2376B7">
                  <wp:extent cx="650875" cy="922020"/>
                  <wp:effectExtent l="0" t="0" r="0" b="0"/>
                  <wp:docPr id="3" name="Resim 3"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A21771" w:rsidTr="00057A0E">
        <w:tc>
          <w:tcPr>
            <w:tcW w:w="178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Kodu</w:t>
            </w:r>
          </w:p>
        </w:tc>
        <w:tc>
          <w:tcPr>
            <w:tcW w:w="2126"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Yayınlama tarihi</w:t>
            </w:r>
          </w:p>
        </w:tc>
        <w:tc>
          <w:tcPr>
            <w:tcW w:w="2268"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Tarihi</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Revizyon No</w:t>
            </w:r>
          </w:p>
        </w:tc>
        <w:tc>
          <w:tcPr>
            <w:tcW w:w="1701"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r w:rsidRPr="00EC6DD5">
              <w:rPr>
                <w:b/>
                <w:bCs/>
                <w:sz w:val="20"/>
                <w:szCs w:val="20"/>
              </w:rPr>
              <w:t>Sayfa</w:t>
            </w:r>
          </w:p>
        </w:tc>
      </w:tr>
      <w:tr w:rsidR="00EC6DD5" w:rsidTr="00057A0E">
        <w:tc>
          <w:tcPr>
            <w:tcW w:w="1780" w:type="dxa"/>
          </w:tcPr>
          <w:p w:rsidR="00EC6DD5" w:rsidRPr="00EC6DD5" w:rsidRDefault="007D7AF0" w:rsidP="00F606BC">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BG.PR</w:t>
            </w:r>
            <w:r w:rsidR="009235F8">
              <w:rPr>
                <w:b/>
                <w:bCs/>
                <w:sz w:val="20"/>
                <w:szCs w:val="20"/>
              </w:rPr>
              <w:t>.</w:t>
            </w:r>
            <w:r w:rsidR="003F0C61">
              <w:rPr>
                <w:b/>
                <w:bCs/>
                <w:sz w:val="20"/>
                <w:szCs w:val="20"/>
              </w:rPr>
              <w:t>0</w:t>
            </w:r>
            <w:r w:rsidR="00F606BC">
              <w:rPr>
                <w:b/>
                <w:bCs/>
                <w:sz w:val="20"/>
                <w:szCs w:val="20"/>
              </w:rPr>
              <w:t>3</w:t>
            </w:r>
          </w:p>
        </w:tc>
        <w:tc>
          <w:tcPr>
            <w:tcW w:w="2126"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00EC6DD5" w:rsidRPr="00EC6DD5">
              <w:rPr>
                <w:b/>
                <w:bCs/>
                <w:sz w:val="20"/>
                <w:szCs w:val="20"/>
              </w:rPr>
              <w:t>.10.201</w:t>
            </w:r>
            <w:r>
              <w:rPr>
                <w:b/>
                <w:bCs/>
                <w:sz w:val="20"/>
                <w:szCs w:val="20"/>
              </w:rPr>
              <w:t>5</w:t>
            </w:r>
          </w:p>
        </w:tc>
        <w:tc>
          <w:tcPr>
            <w:tcW w:w="2268" w:type="dxa"/>
          </w:tcPr>
          <w:p w:rsidR="00EC6DD5" w:rsidRPr="00EC6DD5" w:rsidRDefault="003F0C61"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2</w:t>
            </w:r>
            <w:r w:rsidR="00A22993">
              <w:rPr>
                <w:b/>
                <w:bCs/>
                <w:sz w:val="20"/>
                <w:szCs w:val="20"/>
              </w:rPr>
              <w:t>0</w:t>
            </w:r>
            <w:r w:rsidRPr="00EC6DD5">
              <w:rPr>
                <w:b/>
                <w:bCs/>
                <w:sz w:val="20"/>
                <w:szCs w:val="20"/>
              </w:rPr>
              <w:t>.10.201</w:t>
            </w:r>
            <w:r>
              <w:rPr>
                <w:b/>
                <w:bCs/>
                <w:sz w:val="20"/>
                <w:szCs w:val="20"/>
              </w:rPr>
              <w:t>5</w:t>
            </w:r>
          </w:p>
        </w:tc>
        <w:tc>
          <w:tcPr>
            <w:tcW w:w="2410" w:type="dxa"/>
          </w:tcPr>
          <w:p w:rsidR="00EC6DD5" w:rsidRPr="00EC6DD5" w:rsidRDefault="00EC6DD5" w:rsidP="00F75C1F">
            <w:pPr>
              <w:pStyle w:val="GvdeMetni"/>
              <w:kinsoku w:val="0"/>
              <w:overflowPunct w:val="0"/>
              <w:spacing w:before="9"/>
              <w:ind w:left="0" w:right="-96" w:firstLine="0"/>
              <w:jc w:val="center"/>
              <w:rPr>
                <w:rFonts w:ascii="Times New Roman" w:hAnsi="Times New Roman" w:cs="Times New Roman"/>
                <w:sz w:val="20"/>
                <w:szCs w:val="20"/>
              </w:rPr>
            </w:pPr>
          </w:p>
        </w:tc>
        <w:tc>
          <w:tcPr>
            <w:tcW w:w="1701" w:type="dxa"/>
          </w:tcPr>
          <w:p w:rsidR="00EC6DD5" w:rsidRPr="00EC6DD5" w:rsidRDefault="00404458" w:rsidP="00F75C1F">
            <w:pPr>
              <w:pStyle w:val="GvdeMetni"/>
              <w:kinsoku w:val="0"/>
              <w:overflowPunct w:val="0"/>
              <w:spacing w:before="9"/>
              <w:ind w:left="0" w:right="-96" w:firstLine="0"/>
              <w:jc w:val="center"/>
              <w:rPr>
                <w:rFonts w:ascii="Times New Roman" w:hAnsi="Times New Roman" w:cs="Times New Roman"/>
                <w:sz w:val="20"/>
                <w:szCs w:val="20"/>
              </w:rPr>
            </w:pPr>
            <w:r>
              <w:rPr>
                <w:b/>
                <w:bCs/>
                <w:sz w:val="20"/>
                <w:szCs w:val="20"/>
              </w:rPr>
              <w:t>1/1</w:t>
            </w:r>
          </w:p>
        </w:tc>
      </w:tr>
    </w:tbl>
    <w:p w:rsidR="001B3D29" w:rsidRDefault="001B3D29" w:rsidP="00F75C1F">
      <w:pPr>
        <w:pStyle w:val="GvdeMetni"/>
        <w:kinsoku w:val="0"/>
        <w:overflowPunct w:val="0"/>
        <w:spacing w:before="9"/>
        <w:ind w:left="0" w:right="-96" w:firstLine="0"/>
        <w:rPr>
          <w:rFonts w:ascii="Times New Roman" w:hAnsi="Times New Roman" w:cs="Times New Roman"/>
          <w:sz w:val="15"/>
          <w:szCs w:val="15"/>
        </w:rPr>
      </w:pPr>
    </w:p>
    <w:p w:rsidR="001B3D29" w:rsidRPr="006F3A26" w:rsidRDefault="001B3D29" w:rsidP="0029611D">
      <w:pPr>
        <w:pStyle w:val="Balk1"/>
        <w:numPr>
          <w:ilvl w:val="0"/>
          <w:numId w:val="1"/>
        </w:numPr>
        <w:tabs>
          <w:tab w:val="left" w:pos="896"/>
        </w:tabs>
        <w:kinsoku w:val="0"/>
        <w:overflowPunct w:val="0"/>
        <w:ind w:right="-96"/>
        <w:rPr>
          <w:rFonts w:asciiTheme="minorHAnsi" w:hAnsiTheme="minorHAnsi"/>
          <w:b w:val="0"/>
          <w:bCs w:val="0"/>
        </w:rPr>
      </w:pPr>
      <w:r w:rsidRPr="006F3A26">
        <w:rPr>
          <w:rFonts w:asciiTheme="minorHAnsi" w:hAnsiTheme="minorHAnsi"/>
        </w:rPr>
        <w:t>AMAÇ</w:t>
      </w:r>
    </w:p>
    <w:p w:rsidR="001B3D29" w:rsidRPr="006F3A26" w:rsidRDefault="00A333AB" w:rsidP="0029611D">
      <w:pPr>
        <w:pStyle w:val="GvdeMetni"/>
        <w:kinsoku w:val="0"/>
        <w:overflowPunct w:val="0"/>
        <w:ind w:left="910" w:right="-96" w:firstLine="0"/>
        <w:jc w:val="both"/>
        <w:rPr>
          <w:rFonts w:asciiTheme="minorHAnsi" w:hAnsiTheme="minorHAnsi"/>
          <w:color w:val="000000"/>
          <w:spacing w:val="-1"/>
        </w:rPr>
      </w:pPr>
      <w:r w:rsidRPr="006F3A26">
        <w:rPr>
          <w:rFonts w:asciiTheme="minorHAnsi" w:hAnsiTheme="minorHAnsi"/>
          <w:color w:val="000000"/>
          <w:spacing w:val="-1"/>
        </w:rPr>
        <w:t xml:space="preserve">Antalya İl Sağlık Müdürlüğü ve müdürlüğe bağlı kurumlarda bilgi kaynaklarının imha edilme biçim ve yöntemlerini belirlemek. </w:t>
      </w:r>
    </w:p>
    <w:p w:rsidR="001B3D29" w:rsidRPr="006F3A26" w:rsidRDefault="001B3D29" w:rsidP="0029611D">
      <w:pPr>
        <w:pStyle w:val="Balk1"/>
        <w:numPr>
          <w:ilvl w:val="0"/>
          <w:numId w:val="1"/>
        </w:numPr>
        <w:tabs>
          <w:tab w:val="left" w:pos="896"/>
        </w:tabs>
        <w:kinsoku w:val="0"/>
        <w:overflowPunct w:val="0"/>
        <w:spacing w:beforeLines="40" w:before="96" w:afterLines="40" w:after="96"/>
        <w:ind w:right="-96"/>
        <w:jc w:val="both"/>
        <w:rPr>
          <w:rFonts w:asciiTheme="minorHAnsi" w:hAnsiTheme="minorHAnsi"/>
          <w:b w:val="0"/>
          <w:bCs w:val="0"/>
        </w:rPr>
      </w:pPr>
      <w:r w:rsidRPr="006F3A26">
        <w:rPr>
          <w:rFonts w:asciiTheme="minorHAnsi" w:hAnsiTheme="minorHAnsi"/>
          <w:spacing w:val="-1"/>
        </w:rPr>
        <w:t>KAPSAM</w:t>
      </w:r>
    </w:p>
    <w:p w:rsidR="00D4283B" w:rsidRPr="007D7AF0" w:rsidRDefault="001B3D29" w:rsidP="0029611D">
      <w:pPr>
        <w:pStyle w:val="GvdeMetni"/>
        <w:kinsoku w:val="0"/>
        <w:overflowPunct w:val="0"/>
        <w:spacing w:beforeLines="40" w:before="96" w:afterLines="40" w:after="96"/>
        <w:ind w:left="907" w:right="-96" w:firstLine="0"/>
        <w:jc w:val="both"/>
        <w:rPr>
          <w:rFonts w:asciiTheme="minorHAnsi" w:hAnsiTheme="minorHAnsi"/>
          <w:spacing w:val="-1"/>
        </w:rPr>
      </w:pPr>
      <w:r w:rsidRPr="007D7AF0">
        <w:rPr>
          <w:rFonts w:asciiTheme="minorHAnsi" w:hAnsiTheme="minorHAnsi"/>
        </w:rPr>
        <w:t>Bu</w:t>
      </w:r>
      <w:r w:rsidRPr="007D7AF0">
        <w:rPr>
          <w:rFonts w:asciiTheme="minorHAnsi" w:hAnsiTheme="minorHAnsi"/>
          <w:spacing w:val="18"/>
        </w:rPr>
        <w:t xml:space="preserve"> </w:t>
      </w:r>
      <w:r w:rsidRPr="007D7AF0">
        <w:rPr>
          <w:rFonts w:asciiTheme="minorHAnsi" w:hAnsiTheme="minorHAnsi"/>
          <w:spacing w:val="-1"/>
        </w:rPr>
        <w:t>politika,</w:t>
      </w:r>
      <w:r w:rsidRPr="007D7AF0">
        <w:rPr>
          <w:rFonts w:asciiTheme="minorHAnsi" w:hAnsiTheme="minorHAnsi"/>
          <w:spacing w:val="17"/>
        </w:rPr>
        <w:t xml:space="preserve"> </w:t>
      </w:r>
      <w:r w:rsidRPr="007D7AF0">
        <w:rPr>
          <w:rFonts w:asciiTheme="minorHAnsi" w:hAnsiTheme="minorHAnsi"/>
        </w:rPr>
        <w:t>T.C.</w:t>
      </w:r>
      <w:r w:rsidRPr="007D7AF0">
        <w:rPr>
          <w:rFonts w:asciiTheme="minorHAnsi" w:hAnsiTheme="minorHAnsi"/>
          <w:spacing w:val="19"/>
        </w:rPr>
        <w:t xml:space="preserve"> </w:t>
      </w:r>
      <w:r w:rsidRPr="007D7AF0">
        <w:rPr>
          <w:rFonts w:asciiTheme="minorHAnsi" w:hAnsiTheme="minorHAnsi"/>
          <w:spacing w:val="-1"/>
        </w:rPr>
        <w:t>Sağlık</w:t>
      </w:r>
      <w:r w:rsidRPr="007D7AF0">
        <w:rPr>
          <w:rFonts w:asciiTheme="minorHAnsi" w:hAnsiTheme="minorHAnsi"/>
          <w:spacing w:val="17"/>
        </w:rPr>
        <w:t xml:space="preserve"> </w:t>
      </w:r>
      <w:r w:rsidR="000E5C14" w:rsidRPr="007D7AF0">
        <w:rPr>
          <w:rFonts w:asciiTheme="minorHAnsi" w:hAnsiTheme="minorHAnsi"/>
          <w:spacing w:val="-1"/>
        </w:rPr>
        <w:t xml:space="preserve">Bakanlığı Antalya İl Sağlık Müdürlüğü </w:t>
      </w:r>
      <w:r w:rsidRPr="007D7AF0">
        <w:rPr>
          <w:rFonts w:asciiTheme="minorHAnsi" w:hAnsiTheme="minorHAnsi"/>
          <w:spacing w:val="-1"/>
        </w:rPr>
        <w:t>bünyesinde</w:t>
      </w:r>
      <w:r w:rsidRPr="007D7AF0">
        <w:rPr>
          <w:rFonts w:asciiTheme="minorHAnsi" w:hAnsiTheme="minorHAnsi"/>
          <w:spacing w:val="17"/>
        </w:rPr>
        <w:t xml:space="preserve"> </w:t>
      </w:r>
      <w:r w:rsidR="00EF7E46" w:rsidRPr="007D7AF0">
        <w:rPr>
          <w:rFonts w:asciiTheme="minorHAnsi" w:hAnsiTheme="minorHAnsi"/>
          <w:spacing w:val="17"/>
        </w:rPr>
        <w:t xml:space="preserve">ve bağlı </w:t>
      </w:r>
      <w:r w:rsidR="003735F0">
        <w:rPr>
          <w:rFonts w:asciiTheme="minorHAnsi" w:hAnsiTheme="minorHAnsi"/>
          <w:spacing w:val="17"/>
        </w:rPr>
        <w:t>kurumlarda çalışan tüm personel</w:t>
      </w:r>
      <w:r w:rsidRPr="007D7AF0">
        <w:rPr>
          <w:rFonts w:asciiTheme="minorHAnsi" w:hAnsiTheme="minorHAnsi"/>
          <w:spacing w:val="-3"/>
        </w:rPr>
        <w:t xml:space="preserve"> </w:t>
      </w:r>
      <w:r w:rsidRPr="007D7AF0">
        <w:rPr>
          <w:rFonts w:asciiTheme="minorHAnsi" w:hAnsiTheme="minorHAnsi"/>
          <w:spacing w:val="-1"/>
        </w:rPr>
        <w:t>içindir.</w:t>
      </w:r>
    </w:p>
    <w:p w:rsidR="001B3D29" w:rsidRPr="006F3A26" w:rsidRDefault="001B3D29" w:rsidP="0029611D">
      <w:pPr>
        <w:pStyle w:val="Balk1"/>
        <w:numPr>
          <w:ilvl w:val="0"/>
          <w:numId w:val="1"/>
        </w:numPr>
        <w:kinsoku w:val="0"/>
        <w:overflowPunct w:val="0"/>
        <w:spacing w:beforeLines="40" w:before="96" w:afterLines="40" w:after="96"/>
        <w:ind w:right="-96"/>
        <w:jc w:val="both"/>
        <w:rPr>
          <w:rFonts w:asciiTheme="minorHAnsi" w:hAnsiTheme="minorHAnsi"/>
          <w:b w:val="0"/>
          <w:bCs w:val="0"/>
        </w:rPr>
      </w:pPr>
      <w:r w:rsidRPr="006F3A26">
        <w:rPr>
          <w:rFonts w:asciiTheme="minorHAnsi" w:hAnsiTheme="minorHAnsi"/>
          <w:spacing w:val="-1"/>
        </w:rPr>
        <w:t>POLİTİKA</w:t>
      </w:r>
      <w:r w:rsidRPr="006F3A26">
        <w:rPr>
          <w:rFonts w:asciiTheme="minorHAnsi" w:hAnsiTheme="minorHAnsi"/>
          <w:spacing w:val="-2"/>
        </w:rPr>
        <w:t xml:space="preserve"> </w:t>
      </w:r>
      <w:r w:rsidRPr="006F3A26">
        <w:rPr>
          <w:rFonts w:asciiTheme="minorHAnsi" w:hAnsiTheme="minorHAnsi"/>
          <w:spacing w:val="-1"/>
        </w:rPr>
        <w:t>METNİ</w:t>
      </w:r>
    </w:p>
    <w:p w:rsidR="00E66546" w:rsidRPr="006F3A26" w:rsidRDefault="00E66546" w:rsidP="0029611D">
      <w:pPr>
        <w:pStyle w:val="GvdeMetni"/>
        <w:numPr>
          <w:ilvl w:val="1"/>
          <w:numId w:val="1"/>
        </w:numPr>
        <w:tabs>
          <w:tab w:val="left" w:pos="1189"/>
        </w:tabs>
        <w:kinsoku w:val="0"/>
        <w:overflowPunct w:val="0"/>
        <w:spacing w:beforeLines="40" w:before="96" w:afterLines="40" w:after="96"/>
        <w:ind w:right="-96" w:hanging="358"/>
        <w:jc w:val="both"/>
        <w:rPr>
          <w:rFonts w:asciiTheme="minorHAnsi" w:hAnsiTheme="minorHAnsi"/>
          <w:spacing w:val="-1"/>
        </w:rPr>
      </w:pPr>
      <w:r w:rsidRPr="006F3A26">
        <w:rPr>
          <w:rFonts w:asciiTheme="minorHAnsi" w:hAnsiTheme="minorHAnsi" w:cs="Maiandra GD"/>
          <w:color w:val="000000"/>
        </w:rPr>
        <w:t xml:space="preserve">Bakanlık ve Bağlı Kuruluşlar kendi bünyelerinde oluşturacakları arşivden sorumludur. Evraklar idari ve hukuki hükümlere göre belirlenmiş Evrak Saklama Planı’na uygun olarak muhafaza edilmesi gerekmektedir. </w:t>
      </w:r>
    </w:p>
    <w:p w:rsidR="00E66546" w:rsidRPr="006F3A26" w:rsidRDefault="00E66546" w:rsidP="0029611D">
      <w:pPr>
        <w:pStyle w:val="ListeParagraf"/>
        <w:widowControl/>
        <w:numPr>
          <w:ilvl w:val="1"/>
          <w:numId w:val="1"/>
        </w:numPr>
        <w:spacing w:beforeLines="40" w:before="96" w:afterLines="40" w:after="96"/>
        <w:ind w:right="-96"/>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Yasal bekleme süreleri sonunda tasfiyeleri sağlanmalıdır. Burada Özel ve Çok Gizli evraklar “Devlet Arşiv Hizmetleri Yönetmeliği” hükümleri gereği oluşturulan “Evrak İmha Komisyonu” ile karar altına alınmalı ve imha edilecek evraklar kırpma veya yakılarak imhaları yapılmalıdır. İmha edilemeyecek evrak tanımına giren belgeler geri dönüşüme devirleri yapılmalıdır. </w:t>
      </w:r>
    </w:p>
    <w:p w:rsidR="00E66546" w:rsidRPr="006F3A26" w:rsidRDefault="00E66546" w:rsidP="0029611D">
      <w:pPr>
        <w:pStyle w:val="ListeParagraf"/>
        <w:widowControl/>
        <w:numPr>
          <w:ilvl w:val="1"/>
          <w:numId w:val="1"/>
        </w:numPr>
        <w:spacing w:beforeLines="40" w:before="96" w:afterLines="40" w:after="96"/>
        <w:ind w:right="-96"/>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Bilgi Teknolojilerinin (Disk Storage Veri tabanı dataları vb.) 14 Mart 2005 Tarihli 25755 sayılı Resmi Gazete ’de yayınlanmış, sonraki yıllarda da çeşitli değişikliklere uğramış katı atıkların kontrolü yönetmeliğine ve Basel Sözleşmesine göre donanımların imha yönetimi gerçekleşmelidir. Komisyonca koşullar sağlanarak donanımlar parçalanıp, yakılıp (Özel kimyasal maddelerle) imha edilmelidir.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İmha işlemi gerçekleşecek materyalin özellik ve cinsine göre imha edilecek lokasyon belirlenmelidir.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Uygun şekilde kırılması ve kırılma sürecinden önce veri ünitelerinin adet bilgisi alınmalıdır.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Yetkilendirilmiş personel tarafından imhası gerçekleşen atıklara data imha tutanağı düzenlenmesi ve bertaraf edilen ürünlerin seri numaraları ve adet bilgisinin data-imha tutanağı düzenlenmelidir.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Kırılan parçaların fiziksel muayene ile tamamen tahrip edilip edilmediğinin kontrolü yapılmalıdır.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Tamamen tahrip edilememiş disk parçalarının delme, kesme makinaları ile kullanılamaz hale getirilmelidir.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Hacimsel küçültme işlemi için parçalanmalıdır. </w:t>
      </w:r>
    </w:p>
    <w:p w:rsidR="00E66546" w:rsidRPr="006F3A26" w:rsidRDefault="00E66546" w:rsidP="0029611D">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 xml:space="preserve">Son ürünlerin gruplar halinde fotoğraflanarak ilgili kişi ve/veya kuruma iletilmesi gereklidir. </w:t>
      </w:r>
    </w:p>
    <w:p w:rsidR="003F5E3B" w:rsidRPr="003F5E3B" w:rsidRDefault="00E66546" w:rsidP="003F5E3B">
      <w:pPr>
        <w:pStyle w:val="ListeParagraf"/>
        <w:widowControl/>
        <w:numPr>
          <w:ilvl w:val="0"/>
          <w:numId w:val="1"/>
        </w:numPr>
        <w:spacing w:beforeLines="40" w:before="96" w:afterLines="40" w:after="96"/>
        <w:ind w:left="1204" w:right="-96" w:hanging="353"/>
        <w:jc w:val="both"/>
        <w:rPr>
          <w:rFonts w:asciiTheme="minorHAnsi" w:hAnsiTheme="minorHAnsi" w:cs="Maiandra GD"/>
          <w:color w:val="000000"/>
          <w:sz w:val="22"/>
          <w:szCs w:val="22"/>
        </w:rPr>
      </w:pPr>
      <w:r w:rsidRPr="006F3A26">
        <w:rPr>
          <w:rFonts w:asciiTheme="minorHAnsi" w:hAnsiTheme="minorHAnsi" w:cs="Maiandra GD"/>
          <w:color w:val="000000"/>
          <w:sz w:val="22"/>
          <w:szCs w:val="22"/>
        </w:rPr>
        <w:t>Çıkan metallerin sınıflarına göre ayrılarak, biriktirildikten sonra eritme tesislerine iletilmesi gerekmelidir</w:t>
      </w:r>
      <w:r w:rsidR="00C74247" w:rsidRPr="006F3A26">
        <w:rPr>
          <w:rFonts w:asciiTheme="minorHAnsi" w:hAnsiTheme="minorHAnsi" w:cs="Maiandra GD"/>
          <w:color w:val="000000"/>
          <w:sz w:val="22"/>
          <w:szCs w:val="22"/>
        </w:rPr>
        <w:t>.</w:t>
      </w:r>
    </w:p>
    <w:tbl>
      <w:tblPr>
        <w:tblStyle w:val="TabloKlavuzu"/>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3"/>
        <w:gridCol w:w="533"/>
        <w:gridCol w:w="236"/>
        <w:gridCol w:w="932"/>
        <w:gridCol w:w="1701"/>
        <w:gridCol w:w="1559"/>
        <w:gridCol w:w="1631"/>
      </w:tblGrid>
      <w:tr w:rsidR="0029611D" w:rsidTr="003F5E3B">
        <w:trPr>
          <w:trHeight w:val="658"/>
        </w:trPr>
        <w:tc>
          <w:tcPr>
            <w:tcW w:w="10229" w:type="dxa"/>
            <w:gridSpan w:val="8"/>
            <w:vAlign w:val="center"/>
          </w:tcPr>
          <w:p w:rsidR="0029611D" w:rsidRDefault="0029611D">
            <w:pPr>
              <w:pStyle w:val="GvdeMetni"/>
              <w:tabs>
                <w:tab w:val="left" w:pos="1189"/>
              </w:tabs>
              <w:kinsoku w:val="0"/>
              <w:overflowPunct w:val="0"/>
              <w:ind w:left="0" w:right="-96" w:firstLine="0"/>
              <w:jc w:val="center"/>
              <w:rPr>
                <w:b/>
                <w:spacing w:val="-1"/>
                <w:sz w:val="20"/>
                <w:szCs w:val="20"/>
                <w:u w:val="single"/>
              </w:rPr>
            </w:pPr>
            <w:r>
              <w:rPr>
                <w:b/>
                <w:spacing w:val="-1"/>
                <w:sz w:val="20"/>
                <w:szCs w:val="20"/>
                <w:u w:val="single"/>
              </w:rPr>
              <w:t>HAZIRLAYAN</w:t>
            </w:r>
          </w:p>
          <w:p w:rsidR="0029611D" w:rsidRDefault="0029611D">
            <w:pPr>
              <w:pStyle w:val="GvdeMetni"/>
              <w:tabs>
                <w:tab w:val="left" w:pos="1189"/>
              </w:tabs>
              <w:kinsoku w:val="0"/>
              <w:overflowPunct w:val="0"/>
              <w:ind w:left="0" w:right="-96" w:firstLine="0"/>
              <w:jc w:val="center"/>
              <w:rPr>
                <w:b/>
                <w:spacing w:val="-1"/>
                <w:sz w:val="20"/>
                <w:szCs w:val="20"/>
              </w:rPr>
            </w:pPr>
            <w:r>
              <w:rPr>
                <w:b/>
                <w:spacing w:val="-1"/>
                <w:sz w:val="20"/>
                <w:szCs w:val="20"/>
              </w:rPr>
              <w:t>(Bilgi Güvenliği Komisyonu)</w:t>
            </w:r>
          </w:p>
          <w:p w:rsidR="0029611D" w:rsidRDefault="0029611D" w:rsidP="0029611D">
            <w:pPr>
              <w:pStyle w:val="GvdeMetni"/>
              <w:tabs>
                <w:tab w:val="left" w:pos="1189"/>
              </w:tabs>
              <w:kinsoku w:val="0"/>
              <w:overflowPunct w:val="0"/>
              <w:ind w:left="0" w:right="-96" w:firstLine="0"/>
              <w:rPr>
                <w:spacing w:val="-1"/>
                <w:sz w:val="20"/>
                <w:szCs w:val="20"/>
              </w:rPr>
            </w:pPr>
          </w:p>
        </w:tc>
      </w:tr>
      <w:tr w:rsidR="0029611D" w:rsidTr="0029611D">
        <w:trPr>
          <w:trHeight w:val="980"/>
        </w:trPr>
        <w:tc>
          <w:tcPr>
            <w:tcW w:w="1794"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Komisyon Başkanı</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Bülent YURTERİ</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Şube Müdürü</w:t>
            </w:r>
          </w:p>
        </w:tc>
        <w:tc>
          <w:tcPr>
            <w:tcW w:w="1843"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Başkan Yardımcısı</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Ersin HOŞER</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V.H.K.İ</w:t>
            </w:r>
          </w:p>
        </w:tc>
        <w:tc>
          <w:tcPr>
            <w:tcW w:w="1701" w:type="dxa"/>
            <w:gridSpan w:val="3"/>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Okşan Duru ÖZDAĞ</w:t>
            </w:r>
          </w:p>
          <w:p w:rsidR="0029611D" w:rsidRDefault="0059593A">
            <w:pPr>
              <w:pStyle w:val="GvdeMetni"/>
              <w:tabs>
                <w:tab w:val="left" w:pos="1189"/>
              </w:tabs>
              <w:kinsoku w:val="0"/>
              <w:overflowPunct w:val="0"/>
              <w:ind w:left="0" w:right="-96" w:firstLine="0"/>
              <w:jc w:val="center"/>
              <w:rPr>
                <w:spacing w:val="-1"/>
                <w:sz w:val="17"/>
                <w:szCs w:val="17"/>
              </w:rPr>
            </w:pPr>
            <w:r>
              <w:rPr>
                <w:spacing w:val="-1"/>
                <w:sz w:val="17"/>
                <w:szCs w:val="17"/>
              </w:rPr>
              <w:t>Doktor</w:t>
            </w:r>
          </w:p>
        </w:tc>
        <w:tc>
          <w:tcPr>
            <w:tcW w:w="1701"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Demet KILIÇ</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Avukat</w:t>
            </w:r>
          </w:p>
        </w:tc>
        <w:tc>
          <w:tcPr>
            <w:tcW w:w="1559"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Osman ÜNAY</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c>
          <w:tcPr>
            <w:tcW w:w="1631"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K</w:t>
            </w:r>
            <w:r w:rsidR="0059593A">
              <w:rPr>
                <w:spacing w:val="-1"/>
                <w:sz w:val="17"/>
                <w:szCs w:val="17"/>
              </w:rPr>
              <w:t>.</w:t>
            </w:r>
            <w:bookmarkStart w:id="0" w:name="_GoBack"/>
            <w:bookmarkEnd w:id="0"/>
            <w:r>
              <w:rPr>
                <w:spacing w:val="-1"/>
                <w:sz w:val="17"/>
                <w:szCs w:val="17"/>
              </w:rPr>
              <w:t xml:space="preserve"> Erkan AKKUŞ</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Bilgisayar Mühendisi</w:t>
            </w:r>
          </w:p>
        </w:tc>
      </w:tr>
      <w:tr w:rsidR="0029611D" w:rsidTr="003F5E3B">
        <w:trPr>
          <w:trHeight w:val="72"/>
        </w:trPr>
        <w:tc>
          <w:tcPr>
            <w:tcW w:w="1794"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c>
          <w:tcPr>
            <w:tcW w:w="1843"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c>
          <w:tcPr>
            <w:tcW w:w="1701" w:type="dxa"/>
            <w:gridSpan w:val="3"/>
            <w:vAlign w:val="center"/>
          </w:tcPr>
          <w:p w:rsidR="0029611D" w:rsidRDefault="0029611D">
            <w:pPr>
              <w:pStyle w:val="GvdeMetni"/>
              <w:tabs>
                <w:tab w:val="left" w:pos="1189"/>
              </w:tabs>
              <w:kinsoku w:val="0"/>
              <w:overflowPunct w:val="0"/>
              <w:ind w:left="0" w:right="-96" w:firstLine="0"/>
              <w:jc w:val="center"/>
              <w:rPr>
                <w:spacing w:val="-1"/>
                <w:sz w:val="17"/>
                <w:szCs w:val="17"/>
              </w:rPr>
            </w:pPr>
          </w:p>
        </w:tc>
        <w:tc>
          <w:tcPr>
            <w:tcW w:w="1701"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c>
          <w:tcPr>
            <w:tcW w:w="1559"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c>
          <w:tcPr>
            <w:tcW w:w="1631"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r>
      <w:tr w:rsidR="0029611D" w:rsidTr="0029611D">
        <w:trPr>
          <w:trHeight w:val="840"/>
        </w:trPr>
        <w:tc>
          <w:tcPr>
            <w:tcW w:w="1794"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 (Eğitimci)</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Ünal GÖKÇE</w:t>
            </w:r>
          </w:p>
          <w:p w:rsidR="0029611D" w:rsidRDefault="009B5F4D">
            <w:pPr>
              <w:pStyle w:val="GvdeMetni"/>
              <w:tabs>
                <w:tab w:val="left" w:pos="1189"/>
              </w:tabs>
              <w:kinsoku w:val="0"/>
              <w:overflowPunct w:val="0"/>
              <w:ind w:left="0" w:right="-96" w:firstLine="0"/>
              <w:jc w:val="center"/>
              <w:rPr>
                <w:spacing w:val="-1"/>
                <w:sz w:val="17"/>
                <w:szCs w:val="17"/>
              </w:rPr>
            </w:pPr>
            <w:r>
              <w:rPr>
                <w:spacing w:val="-1"/>
                <w:sz w:val="17"/>
                <w:szCs w:val="17"/>
              </w:rPr>
              <w:t>Sağlık Memuru</w:t>
            </w:r>
          </w:p>
        </w:tc>
        <w:tc>
          <w:tcPr>
            <w:tcW w:w="1843" w:type="dxa"/>
            <w:vAlign w:val="center"/>
          </w:tcPr>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Bilgi Güvenliği Yetkilisi</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Özgür AYDIN</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Programcı</w:t>
            </w:r>
          </w:p>
          <w:p w:rsidR="0029611D" w:rsidRDefault="0029611D">
            <w:pPr>
              <w:pStyle w:val="GvdeMetni"/>
              <w:tabs>
                <w:tab w:val="left" w:pos="1189"/>
              </w:tabs>
              <w:kinsoku w:val="0"/>
              <w:overflowPunct w:val="0"/>
              <w:ind w:left="0" w:right="-96" w:firstLine="0"/>
              <w:jc w:val="center"/>
              <w:rPr>
                <w:spacing w:val="-1"/>
                <w:sz w:val="17"/>
                <w:szCs w:val="17"/>
              </w:rPr>
            </w:pPr>
          </w:p>
        </w:tc>
        <w:tc>
          <w:tcPr>
            <w:tcW w:w="1701" w:type="dxa"/>
            <w:gridSpan w:val="3"/>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Fethi ÇELİK</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Programcı</w:t>
            </w:r>
          </w:p>
        </w:tc>
        <w:tc>
          <w:tcPr>
            <w:tcW w:w="1701"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 xml:space="preserve">Üye </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İsmail ÇİFTÇİ</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Bilgisayar İşletmeni</w:t>
            </w:r>
          </w:p>
        </w:tc>
        <w:tc>
          <w:tcPr>
            <w:tcW w:w="1559" w:type="dxa"/>
            <w:vAlign w:val="center"/>
          </w:tcPr>
          <w:p w:rsidR="0029611D" w:rsidRDefault="0029611D">
            <w:pPr>
              <w:pStyle w:val="GvdeMetni"/>
              <w:tabs>
                <w:tab w:val="left" w:pos="1189"/>
              </w:tabs>
              <w:kinsoku w:val="0"/>
              <w:overflowPunct w:val="0"/>
              <w:ind w:left="0" w:right="-96" w:firstLine="0"/>
              <w:jc w:val="center"/>
              <w:rPr>
                <w:i/>
                <w:spacing w:val="-1"/>
                <w:sz w:val="17"/>
                <w:szCs w:val="17"/>
                <w:u w:val="single"/>
              </w:rPr>
            </w:pPr>
            <w:r>
              <w:rPr>
                <w:i/>
                <w:spacing w:val="-1"/>
                <w:sz w:val="17"/>
                <w:szCs w:val="17"/>
                <w:u w:val="single"/>
              </w:rPr>
              <w:t>Üye</w:t>
            </w:r>
          </w:p>
          <w:p w:rsidR="0029611D" w:rsidRDefault="0029611D">
            <w:pPr>
              <w:pStyle w:val="GvdeMetni"/>
              <w:tabs>
                <w:tab w:val="left" w:pos="1189"/>
              </w:tabs>
              <w:kinsoku w:val="0"/>
              <w:overflowPunct w:val="0"/>
              <w:ind w:left="0" w:right="-96" w:firstLine="0"/>
              <w:jc w:val="center"/>
              <w:rPr>
                <w:spacing w:val="-1"/>
                <w:sz w:val="17"/>
                <w:szCs w:val="17"/>
              </w:rPr>
            </w:pP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Okkan KARADAŞ</w:t>
            </w:r>
          </w:p>
          <w:p w:rsidR="0029611D" w:rsidRDefault="0029611D">
            <w:pPr>
              <w:pStyle w:val="GvdeMetni"/>
              <w:tabs>
                <w:tab w:val="left" w:pos="1189"/>
              </w:tabs>
              <w:kinsoku w:val="0"/>
              <w:overflowPunct w:val="0"/>
              <w:ind w:left="0" w:right="-96" w:firstLine="0"/>
              <w:jc w:val="center"/>
              <w:rPr>
                <w:spacing w:val="-1"/>
                <w:sz w:val="17"/>
                <w:szCs w:val="17"/>
              </w:rPr>
            </w:pPr>
            <w:r>
              <w:rPr>
                <w:spacing w:val="-1"/>
                <w:sz w:val="17"/>
                <w:szCs w:val="17"/>
              </w:rPr>
              <w:t>Tıbbi Sektreter</w:t>
            </w:r>
          </w:p>
        </w:tc>
        <w:tc>
          <w:tcPr>
            <w:tcW w:w="1631" w:type="dxa"/>
            <w:vAlign w:val="center"/>
          </w:tcPr>
          <w:p w:rsidR="0029611D" w:rsidRDefault="0029611D">
            <w:pPr>
              <w:pStyle w:val="GvdeMetni"/>
              <w:tabs>
                <w:tab w:val="left" w:pos="1189"/>
              </w:tabs>
              <w:kinsoku w:val="0"/>
              <w:overflowPunct w:val="0"/>
              <w:ind w:left="0" w:right="-96" w:firstLine="0"/>
              <w:jc w:val="center"/>
              <w:rPr>
                <w:spacing w:val="-1"/>
                <w:sz w:val="17"/>
                <w:szCs w:val="17"/>
              </w:rPr>
            </w:pPr>
          </w:p>
        </w:tc>
      </w:tr>
      <w:tr w:rsidR="0029611D" w:rsidTr="0029611D">
        <w:tc>
          <w:tcPr>
            <w:tcW w:w="1794" w:type="dxa"/>
            <w:vAlign w:val="center"/>
            <w:hideMark/>
          </w:tcPr>
          <w:p w:rsidR="0029611D" w:rsidRDefault="0029611D">
            <w:pPr>
              <w:widowControl/>
              <w:rPr>
                <w:sz w:val="22"/>
                <w:szCs w:val="22"/>
              </w:rPr>
            </w:pPr>
          </w:p>
        </w:tc>
        <w:tc>
          <w:tcPr>
            <w:tcW w:w="2376" w:type="dxa"/>
            <w:gridSpan w:val="2"/>
            <w:vAlign w:val="center"/>
            <w:hideMark/>
          </w:tcPr>
          <w:p w:rsidR="0029611D" w:rsidRDefault="0029611D">
            <w:pPr>
              <w:widowControl/>
              <w:rPr>
                <w:sz w:val="22"/>
                <w:szCs w:val="22"/>
              </w:rPr>
            </w:pPr>
          </w:p>
        </w:tc>
        <w:tc>
          <w:tcPr>
            <w:tcW w:w="236" w:type="dxa"/>
            <w:vAlign w:val="center"/>
            <w:hideMark/>
          </w:tcPr>
          <w:p w:rsidR="0029611D" w:rsidRDefault="0029611D">
            <w:pPr>
              <w:widowControl/>
              <w:rPr>
                <w:sz w:val="22"/>
                <w:szCs w:val="22"/>
              </w:rPr>
            </w:pPr>
          </w:p>
        </w:tc>
        <w:tc>
          <w:tcPr>
            <w:tcW w:w="932" w:type="dxa"/>
            <w:vAlign w:val="center"/>
            <w:hideMark/>
          </w:tcPr>
          <w:p w:rsidR="0029611D" w:rsidRDefault="0029611D">
            <w:pPr>
              <w:widowControl/>
              <w:rPr>
                <w:sz w:val="22"/>
                <w:szCs w:val="22"/>
              </w:rPr>
            </w:pPr>
          </w:p>
        </w:tc>
        <w:tc>
          <w:tcPr>
            <w:tcW w:w="1701" w:type="dxa"/>
            <w:vAlign w:val="center"/>
            <w:hideMark/>
          </w:tcPr>
          <w:p w:rsidR="0029611D" w:rsidRDefault="0029611D">
            <w:pPr>
              <w:widowControl/>
              <w:rPr>
                <w:sz w:val="22"/>
                <w:szCs w:val="22"/>
              </w:rPr>
            </w:pPr>
          </w:p>
        </w:tc>
        <w:tc>
          <w:tcPr>
            <w:tcW w:w="3190" w:type="dxa"/>
            <w:gridSpan w:val="2"/>
            <w:vAlign w:val="center"/>
            <w:hideMark/>
          </w:tcPr>
          <w:p w:rsidR="0029611D" w:rsidRDefault="0029611D">
            <w:pPr>
              <w:widowControl/>
              <w:rPr>
                <w:sz w:val="22"/>
                <w:szCs w:val="22"/>
              </w:rPr>
            </w:pPr>
          </w:p>
        </w:tc>
      </w:tr>
    </w:tbl>
    <w:p w:rsidR="0029611D" w:rsidRDefault="0029611D" w:rsidP="001608C4">
      <w:pPr>
        <w:pStyle w:val="GvdeMetni"/>
        <w:tabs>
          <w:tab w:val="left" w:pos="1189"/>
        </w:tabs>
        <w:kinsoku w:val="0"/>
        <w:overflowPunct w:val="0"/>
        <w:ind w:left="0" w:right="-96" w:firstLine="0"/>
        <w:jc w:val="center"/>
        <w:rPr>
          <w:spacing w:val="-1"/>
          <w:sz w:val="20"/>
          <w:szCs w:val="20"/>
        </w:rPr>
      </w:pPr>
    </w:p>
    <w:p w:rsidR="003F5E3B" w:rsidRDefault="003F5E3B" w:rsidP="001608C4">
      <w:pPr>
        <w:pStyle w:val="GvdeMetni"/>
        <w:tabs>
          <w:tab w:val="left" w:pos="1189"/>
        </w:tabs>
        <w:kinsoku w:val="0"/>
        <w:overflowPunct w:val="0"/>
        <w:ind w:left="0" w:right="-96" w:firstLine="0"/>
        <w:jc w:val="center"/>
        <w:rPr>
          <w:spacing w:val="-1"/>
          <w:sz w:val="20"/>
          <w:szCs w:val="20"/>
        </w:rPr>
      </w:pPr>
    </w:p>
    <w:p w:rsidR="001608C4" w:rsidRDefault="005940F0" w:rsidP="001608C4">
      <w:pPr>
        <w:pStyle w:val="GvdeMetni"/>
        <w:tabs>
          <w:tab w:val="left" w:pos="1189"/>
        </w:tabs>
        <w:kinsoku w:val="0"/>
        <w:overflowPunct w:val="0"/>
        <w:ind w:left="0" w:right="-96" w:firstLine="0"/>
        <w:jc w:val="center"/>
        <w:rPr>
          <w:spacing w:val="-1"/>
          <w:sz w:val="20"/>
          <w:szCs w:val="20"/>
        </w:rPr>
      </w:pPr>
      <w:r>
        <w:rPr>
          <w:spacing w:val="-1"/>
          <w:sz w:val="20"/>
          <w:szCs w:val="20"/>
        </w:rPr>
        <w:t xml:space="preserve">          </w:t>
      </w:r>
    </w:p>
    <w:p w:rsidR="001608C4" w:rsidRDefault="001608C4" w:rsidP="001608C4">
      <w:pPr>
        <w:pStyle w:val="GvdeMetni"/>
        <w:tabs>
          <w:tab w:val="left" w:pos="1189"/>
        </w:tabs>
        <w:kinsoku w:val="0"/>
        <w:overflowPunct w:val="0"/>
        <w:ind w:left="0" w:right="-96" w:firstLine="0"/>
        <w:jc w:val="center"/>
        <w:rPr>
          <w:b/>
          <w:spacing w:val="-1"/>
          <w:sz w:val="20"/>
          <w:szCs w:val="20"/>
          <w:u w:val="single"/>
        </w:rPr>
      </w:pPr>
      <w:r>
        <w:rPr>
          <w:b/>
          <w:spacing w:val="-1"/>
          <w:sz w:val="20"/>
          <w:szCs w:val="20"/>
        </w:rPr>
        <w:t xml:space="preserve">          </w:t>
      </w:r>
      <w:r>
        <w:rPr>
          <w:b/>
          <w:spacing w:val="-1"/>
          <w:sz w:val="20"/>
          <w:szCs w:val="20"/>
          <w:u w:val="single"/>
        </w:rPr>
        <w:t>O N A Y</w:t>
      </w:r>
    </w:p>
    <w:p w:rsidR="0029611D" w:rsidRDefault="0029611D" w:rsidP="001608C4">
      <w:pPr>
        <w:pStyle w:val="GvdeMetni"/>
        <w:tabs>
          <w:tab w:val="left" w:pos="1189"/>
        </w:tabs>
        <w:kinsoku w:val="0"/>
        <w:overflowPunct w:val="0"/>
        <w:ind w:left="0" w:right="-96" w:firstLine="0"/>
        <w:jc w:val="center"/>
        <w:rPr>
          <w:b/>
          <w:spacing w:val="-1"/>
          <w:sz w:val="20"/>
          <w:szCs w:val="20"/>
          <w:u w:val="single"/>
        </w:rPr>
      </w:pPr>
    </w:p>
    <w:p w:rsidR="001608C4" w:rsidRDefault="001608C4" w:rsidP="001608C4">
      <w:pPr>
        <w:pStyle w:val="GvdeMetni"/>
        <w:tabs>
          <w:tab w:val="left" w:pos="1189"/>
        </w:tabs>
        <w:kinsoku w:val="0"/>
        <w:overflowPunct w:val="0"/>
        <w:ind w:left="0" w:right="-96" w:firstLine="0"/>
        <w:jc w:val="center"/>
        <w:rPr>
          <w:spacing w:val="-1"/>
          <w:sz w:val="20"/>
          <w:szCs w:val="20"/>
        </w:rPr>
      </w:pPr>
      <w:r>
        <w:rPr>
          <w:spacing w:val="-1"/>
          <w:sz w:val="20"/>
          <w:szCs w:val="20"/>
        </w:rPr>
        <w:t xml:space="preserve">          …/…/2015</w:t>
      </w:r>
    </w:p>
    <w:p w:rsidR="001608C4" w:rsidRDefault="001608C4" w:rsidP="001608C4">
      <w:pPr>
        <w:pStyle w:val="GvdeMetni"/>
        <w:tabs>
          <w:tab w:val="left" w:pos="1189"/>
        </w:tabs>
        <w:kinsoku w:val="0"/>
        <w:overflowPunct w:val="0"/>
        <w:ind w:left="0" w:right="-96" w:firstLine="0"/>
        <w:jc w:val="center"/>
        <w:rPr>
          <w:spacing w:val="-1"/>
          <w:sz w:val="20"/>
          <w:szCs w:val="20"/>
        </w:rPr>
      </w:pPr>
      <w:r>
        <w:rPr>
          <w:spacing w:val="-1"/>
          <w:sz w:val="20"/>
          <w:szCs w:val="20"/>
        </w:rPr>
        <w:t xml:space="preserve">          Dr. Ünal HÜLÜR</w:t>
      </w:r>
    </w:p>
    <w:p w:rsidR="001608C4" w:rsidRPr="001608C4" w:rsidRDefault="001608C4" w:rsidP="001608C4">
      <w:pPr>
        <w:pStyle w:val="GvdeMetni"/>
        <w:tabs>
          <w:tab w:val="left" w:pos="1189"/>
        </w:tabs>
        <w:kinsoku w:val="0"/>
        <w:overflowPunct w:val="0"/>
        <w:ind w:left="0" w:right="-96" w:firstLine="0"/>
        <w:jc w:val="center"/>
        <w:rPr>
          <w:rFonts w:asciiTheme="minorHAnsi" w:hAnsiTheme="minorHAnsi" w:cs="Maiandra GD"/>
          <w:color w:val="000000"/>
        </w:rPr>
      </w:pPr>
      <w:r>
        <w:rPr>
          <w:spacing w:val="-1"/>
          <w:sz w:val="20"/>
          <w:szCs w:val="20"/>
        </w:rPr>
        <w:t xml:space="preserve">          İl Sağlık Müdürü</w:t>
      </w:r>
    </w:p>
    <w:sectPr w:rsidR="001608C4" w:rsidRPr="001608C4" w:rsidSect="006A57E5">
      <w:footerReference w:type="default" r:id="rId11"/>
      <w:pgSz w:w="11910" w:h="16840" w:code="9"/>
      <w:pgMar w:top="181" w:right="853" w:bottom="113" w:left="238" w:header="283" w:footer="283"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2A6" w:rsidRDefault="007022A6" w:rsidP="009D02D3">
      <w:r>
        <w:separator/>
      </w:r>
    </w:p>
  </w:endnote>
  <w:endnote w:type="continuationSeparator" w:id="0">
    <w:p w:rsidR="007022A6" w:rsidRDefault="007022A6" w:rsidP="009D0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2D3" w:rsidRDefault="00316ED1" w:rsidP="00316ED1">
    <w:pPr>
      <w:pStyle w:val="Altbilgi"/>
      <w:tabs>
        <w:tab w:val="clear" w:pos="4536"/>
        <w:tab w:val="clear" w:pos="9072"/>
        <w:tab w:val="left" w:pos="7663"/>
      </w:tabs>
    </w:pPr>
    <w:r>
      <w:rPr>
        <w:noProof/>
      </w:rPr>
      <mc:AlternateContent>
        <mc:Choice Requires="wps">
          <w:drawing>
            <wp:anchor distT="0" distB="0" distL="114300" distR="114300" simplePos="0" relativeHeight="251659264" behindDoc="1" locked="0" layoutInCell="0" allowOverlap="1" wp14:anchorId="02ED54E9" wp14:editId="65DF19F3">
              <wp:simplePos x="0" y="0"/>
              <wp:positionH relativeFrom="page">
                <wp:posOffset>4285670</wp:posOffset>
              </wp:positionH>
              <wp:positionV relativeFrom="page">
                <wp:posOffset>10400030</wp:posOffset>
              </wp:positionV>
              <wp:extent cx="2912275" cy="127635"/>
              <wp:effectExtent l="0" t="0" r="254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2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6ED1" w:rsidRDefault="00316ED1" w:rsidP="00546EFF">
                          <w:pPr>
                            <w:pStyle w:val="GvdeMetni"/>
                            <w:kinsoku w:val="0"/>
                            <w:overflowPunct w:val="0"/>
                            <w:spacing w:line="184" w:lineRule="exact"/>
                            <w:ind w:left="20" w:firstLine="0"/>
                            <w:jc w:val="right"/>
                            <w:rPr>
                              <w:sz w:val="16"/>
                              <w:szCs w:val="16"/>
                            </w:rPr>
                          </w:pPr>
                          <w:r>
                            <w:rPr>
                              <w:i/>
                              <w:iCs/>
                              <w:sz w:val="16"/>
                              <w:szCs w:val="16"/>
                            </w:rPr>
                            <w:t>BG.</w:t>
                          </w:r>
                          <w:r w:rsidR="00546EFF">
                            <w:rPr>
                              <w:i/>
                              <w:iCs/>
                              <w:sz w:val="16"/>
                              <w:szCs w:val="16"/>
                            </w:rPr>
                            <w:t>P</w:t>
                          </w:r>
                          <w:r w:rsidR="006A57E5">
                            <w:rPr>
                              <w:i/>
                              <w:iCs/>
                              <w:sz w:val="16"/>
                              <w:szCs w:val="16"/>
                            </w:rPr>
                            <w:t>R</w:t>
                          </w:r>
                          <w:r>
                            <w:rPr>
                              <w:i/>
                              <w:iCs/>
                              <w:sz w:val="16"/>
                              <w:szCs w:val="16"/>
                            </w:rPr>
                            <w:t>.0</w:t>
                          </w:r>
                          <w:r w:rsidR="00F606BC">
                            <w:rPr>
                              <w:i/>
                              <w:iCs/>
                              <w:sz w:val="16"/>
                              <w:szCs w:val="16"/>
                            </w:rPr>
                            <w:t>3</w:t>
                          </w:r>
                          <w:r>
                            <w:rPr>
                              <w:i/>
                              <w:iCs/>
                              <w:sz w:val="16"/>
                              <w:szCs w:val="16"/>
                            </w:rPr>
                            <w:t xml:space="preserve"> </w:t>
                          </w:r>
                          <w:r w:rsidR="00546EFF">
                            <w:rPr>
                              <w:i/>
                              <w:iCs/>
                              <w:sz w:val="16"/>
                              <w:szCs w:val="16"/>
                            </w:rPr>
                            <w:t xml:space="preserve">BİLGİ KAYNAKLARI ATIK VE İMHA YÖNETİMİ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7.45pt;margin-top:818.9pt;width:229.3pt;height:10.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Q4lrA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" o:allowincell="f" filled="f" stroked="f">
              <v:textbox inset="0,0,0,0">
                <w:txbxContent>
                  <w:p w:rsidR="00316ED1" w:rsidRDefault="00316ED1" w:rsidP="00546EFF">
                    <w:pPr>
                      <w:pStyle w:val="GvdeMetni"/>
                      <w:kinsoku w:val="0"/>
                      <w:overflowPunct w:val="0"/>
                      <w:spacing w:line="184" w:lineRule="exact"/>
                      <w:ind w:left="20" w:firstLine="0"/>
                      <w:jc w:val="right"/>
                      <w:rPr>
                        <w:sz w:val="16"/>
                        <w:szCs w:val="16"/>
                      </w:rPr>
                    </w:pPr>
                    <w:r>
                      <w:rPr>
                        <w:i/>
                        <w:iCs/>
                        <w:sz w:val="16"/>
                        <w:szCs w:val="16"/>
                      </w:rPr>
                      <w:t>BG.</w:t>
                    </w:r>
                    <w:r w:rsidR="00546EFF">
                      <w:rPr>
                        <w:i/>
                        <w:iCs/>
                        <w:sz w:val="16"/>
                        <w:szCs w:val="16"/>
                      </w:rPr>
                      <w:t>P</w:t>
                    </w:r>
                    <w:r w:rsidR="006A57E5">
                      <w:rPr>
                        <w:i/>
                        <w:iCs/>
                        <w:sz w:val="16"/>
                        <w:szCs w:val="16"/>
                      </w:rPr>
                      <w:t>R</w:t>
                    </w:r>
                    <w:r>
                      <w:rPr>
                        <w:i/>
                        <w:iCs/>
                        <w:sz w:val="16"/>
                        <w:szCs w:val="16"/>
                      </w:rPr>
                      <w:t>.0</w:t>
                    </w:r>
                    <w:r w:rsidR="00F606BC">
                      <w:rPr>
                        <w:i/>
                        <w:iCs/>
                        <w:sz w:val="16"/>
                        <w:szCs w:val="16"/>
                      </w:rPr>
                      <w:t>3</w:t>
                    </w:r>
                    <w:r>
                      <w:rPr>
                        <w:i/>
                        <w:iCs/>
                        <w:sz w:val="16"/>
                        <w:szCs w:val="16"/>
                      </w:rPr>
                      <w:t xml:space="preserve"> </w:t>
                    </w:r>
                    <w:r w:rsidR="00546EFF">
                      <w:rPr>
                        <w:i/>
                        <w:iCs/>
                        <w:sz w:val="16"/>
                        <w:szCs w:val="16"/>
                      </w:rPr>
                      <w:t xml:space="preserve">BİLGİ KAYNAKLARI ATIK VE İMHA YÖNETİMİ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2A6" w:rsidRDefault="007022A6" w:rsidP="009D02D3">
      <w:r>
        <w:separator/>
      </w:r>
    </w:p>
  </w:footnote>
  <w:footnote w:type="continuationSeparator" w:id="0">
    <w:p w:rsidR="007022A6" w:rsidRDefault="007022A6" w:rsidP="009D02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3A540B68"/>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abstractNum w:abstractNumId="1">
    <w:nsid w:val="7D1A2F4B"/>
    <w:multiLevelType w:val="multilevel"/>
    <w:tmpl w:val="00000885"/>
    <w:lvl w:ilvl="0">
      <w:start w:val="1"/>
      <w:numFmt w:val="decimal"/>
      <w:lvlText w:val="%1."/>
      <w:lvlJc w:val="left"/>
      <w:pPr>
        <w:ind w:left="895" w:hanging="286"/>
      </w:pPr>
      <w:rPr>
        <w:rFonts w:ascii="Calibri" w:hAnsi="Calibri" w:cs="Calibri"/>
        <w:b/>
        <w:bCs/>
        <w:sz w:val="22"/>
        <w:szCs w:val="22"/>
      </w:rPr>
    </w:lvl>
    <w:lvl w:ilvl="1">
      <w:start w:val="1"/>
      <w:numFmt w:val="decimal"/>
      <w:lvlText w:val="%2."/>
      <w:lvlJc w:val="left"/>
      <w:pPr>
        <w:ind w:left="1188" w:hanging="359"/>
      </w:pPr>
      <w:rPr>
        <w:rFonts w:ascii="Calibri" w:hAnsi="Calibri" w:cs="Calibri"/>
        <w:b w:val="0"/>
        <w:bCs w:val="0"/>
        <w:sz w:val="22"/>
        <w:szCs w:val="22"/>
      </w:rPr>
    </w:lvl>
    <w:lvl w:ilvl="2">
      <w:numFmt w:val="bullet"/>
      <w:lvlText w:val="•"/>
      <w:lvlJc w:val="left"/>
      <w:pPr>
        <w:ind w:left="2310" w:hanging="359"/>
      </w:pPr>
    </w:lvl>
    <w:lvl w:ilvl="3">
      <w:numFmt w:val="bullet"/>
      <w:lvlText w:val="•"/>
      <w:lvlJc w:val="left"/>
      <w:pPr>
        <w:ind w:left="3432" w:hanging="359"/>
      </w:pPr>
    </w:lvl>
    <w:lvl w:ilvl="4">
      <w:numFmt w:val="bullet"/>
      <w:lvlText w:val="•"/>
      <w:lvlJc w:val="left"/>
      <w:pPr>
        <w:ind w:left="4554" w:hanging="359"/>
      </w:pPr>
    </w:lvl>
    <w:lvl w:ilvl="5">
      <w:numFmt w:val="bullet"/>
      <w:lvlText w:val="•"/>
      <w:lvlJc w:val="left"/>
      <w:pPr>
        <w:ind w:left="5676" w:hanging="359"/>
      </w:pPr>
    </w:lvl>
    <w:lvl w:ilvl="6">
      <w:numFmt w:val="bullet"/>
      <w:lvlText w:val="•"/>
      <w:lvlJc w:val="left"/>
      <w:pPr>
        <w:ind w:left="6798" w:hanging="359"/>
      </w:pPr>
    </w:lvl>
    <w:lvl w:ilvl="7">
      <w:numFmt w:val="bullet"/>
      <w:lvlText w:val="•"/>
      <w:lvlJc w:val="left"/>
      <w:pPr>
        <w:ind w:left="7920" w:hanging="359"/>
      </w:pPr>
    </w:lvl>
    <w:lvl w:ilvl="8">
      <w:numFmt w:val="bullet"/>
      <w:lvlText w:val="•"/>
      <w:lvlJc w:val="left"/>
      <w:pPr>
        <w:ind w:left="9042" w:hanging="359"/>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attachedTemplate r:id="rId1"/>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501"/>
    <w:rsid w:val="00011600"/>
    <w:rsid w:val="0004002D"/>
    <w:rsid w:val="000507DC"/>
    <w:rsid w:val="00057A0E"/>
    <w:rsid w:val="00066EBB"/>
    <w:rsid w:val="000840A6"/>
    <w:rsid w:val="000B0F9E"/>
    <w:rsid w:val="000E2F5F"/>
    <w:rsid w:val="000E5C14"/>
    <w:rsid w:val="001260D0"/>
    <w:rsid w:val="001608C4"/>
    <w:rsid w:val="00161DDB"/>
    <w:rsid w:val="001B3D29"/>
    <w:rsid w:val="001D62F6"/>
    <w:rsid w:val="00267E75"/>
    <w:rsid w:val="0028050C"/>
    <w:rsid w:val="0029611D"/>
    <w:rsid w:val="002F15D3"/>
    <w:rsid w:val="00316ED1"/>
    <w:rsid w:val="003176CF"/>
    <w:rsid w:val="003735F0"/>
    <w:rsid w:val="003A6C22"/>
    <w:rsid w:val="003F0909"/>
    <w:rsid w:val="003F0C61"/>
    <w:rsid w:val="003F371E"/>
    <w:rsid w:val="003F5E3B"/>
    <w:rsid w:val="00404458"/>
    <w:rsid w:val="00424F5E"/>
    <w:rsid w:val="00426506"/>
    <w:rsid w:val="004269C5"/>
    <w:rsid w:val="00483B5A"/>
    <w:rsid w:val="00491251"/>
    <w:rsid w:val="004A2B58"/>
    <w:rsid w:val="004B307C"/>
    <w:rsid w:val="004F0873"/>
    <w:rsid w:val="005269BF"/>
    <w:rsid w:val="00546EFF"/>
    <w:rsid w:val="005615C8"/>
    <w:rsid w:val="005635E5"/>
    <w:rsid w:val="0057026D"/>
    <w:rsid w:val="00572CA5"/>
    <w:rsid w:val="005751FF"/>
    <w:rsid w:val="005940F0"/>
    <w:rsid w:val="0059593A"/>
    <w:rsid w:val="005C55B1"/>
    <w:rsid w:val="00613FC2"/>
    <w:rsid w:val="00633BB8"/>
    <w:rsid w:val="00657286"/>
    <w:rsid w:val="0067432B"/>
    <w:rsid w:val="00677478"/>
    <w:rsid w:val="006967B2"/>
    <w:rsid w:val="00696D8A"/>
    <w:rsid w:val="006A57E5"/>
    <w:rsid w:val="006B7B13"/>
    <w:rsid w:val="006F3A26"/>
    <w:rsid w:val="007022A6"/>
    <w:rsid w:val="0072267E"/>
    <w:rsid w:val="00732AF3"/>
    <w:rsid w:val="00747C47"/>
    <w:rsid w:val="007639FB"/>
    <w:rsid w:val="00765455"/>
    <w:rsid w:val="007719C2"/>
    <w:rsid w:val="007C74F7"/>
    <w:rsid w:val="007D7278"/>
    <w:rsid w:val="007D7AF0"/>
    <w:rsid w:val="00851B0D"/>
    <w:rsid w:val="00867C0F"/>
    <w:rsid w:val="008D1F50"/>
    <w:rsid w:val="008F4C79"/>
    <w:rsid w:val="00913E1E"/>
    <w:rsid w:val="009224CA"/>
    <w:rsid w:val="009235F8"/>
    <w:rsid w:val="009511FB"/>
    <w:rsid w:val="009631A7"/>
    <w:rsid w:val="00973BF9"/>
    <w:rsid w:val="009B5F4D"/>
    <w:rsid w:val="009D02D3"/>
    <w:rsid w:val="009D493C"/>
    <w:rsid w:val="00A21771"/>
    <w:rsid w:val="00A22993"/>
    <w:rsid w:val="00A333AB"/>
    <w:rsid w:val="00A47BC6"/>
    <w:rsid w:val="00B042D6"/>
    <w:rsid w:val="00B11EF5"/>
    <w:rsid w:val="00B47755"/>
    <w:rsid w:val="00BE7A4B"/>
    <w:rsid w:val="00C42041"/>
    <w:rsid w:val="00C62106"/>
    <w:rsid w:val="00C74247"/>
    <w:rsid w:val="00C751A2"/>
    <w:rsid w:val="00C946F0"/>
    <w:rsid w:val="00CB5A42"/>
    <w:rsid w:val="00CD0DC0"/>
    <w:rsid w:val="00CE2166"/>
    <w:rsid w:val="00CE2ADB"/>
    <w:rsid w:val="00CE5833"/>
    <w:rsid w:val="00D11119"/>
    <w:rsid w:val="00D4283B"/>
    <w:rsid w:val="00D809EC"/>
    <w:rsid w:val="00D8258D"/>
    <w:rsid w:val="00DA1501"/>
    <w:rsid w:val="00DA5672"/>
    <w:rsid w:val="00E17C83"/>
    <w:rsid w:val="00E25718"/>
    <w:rsid w:val="00E30A10"/>
    <w:rsid w:val="00E46DFF"/>
    <w:rsid w:val="00E52596"/>
    <w:rsid w:val="00E66546"/>
    <w:rsid w:val="00E75AAF"/>
    <w:rsid w:val="00E77398"/>
    <w:rsid w:val="00E80B6E"/>
    <w:rsid w:val="00E8408E"/>
    <w:rsid w:val="00EC06CA"/>
    <w:rsid w:val="00EC6DD5"/>
    <w:rsid w:val="00EF7E46"/>
    <w:rsid w:val="00F40569"/>
    <w:rsid w:val="00F606BC"/>
    <w:rsid w:val="00F74C80"/>
    <w:rsid w:val="00F75C1F"/>
    <w:rsid w:val="00F80471"/>
    <w:rsid w:val="00F82520"/>
    <w:rsid w:val="00F862A2"/>
    <w:rsid w:val="00F86D6B"/>
    <w:rsid w:val="00F90D18"/>
    <w:rsid w:val="00FC69DE"/>
    <w:rsid w:val="00FE2B0F"/>
    <w:rsid w:val="00FE76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Balk1">
    <w:name w:val="heading 1"/>
    <w:basedOn w:val="Normal"/>
    <w:next w:val="Normal"/>
    <w:link w:val="Balk1Char"/>
    <w:uiPriority w:val="1"/>
    <w:qFormat/>
    <w:pPr>
      <w:ind w:left="895" w:hanging="286"/>
      <w:outlineLvl w:val="0"/>
    </w:pPr>
    <w:rPr>
      <w:rFonts w:ascii="Calibri" w:hAnsi="Calibri" w:cs="Calibri"/>
      <w:b/>
      <w:bCs/>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locked/>
    <w:rPr>
      <w:rFonts w:asciiTheme="majorHAnsi" w:eastAsiaTheme="majorEastAsia" w:hAnsiTheme="majorHAnsi" w:cs="Times New Roman"/>
      <w:b/>
      <w:bCs/>
      <w:kern w:val="32"/>
      <w:sz w:val="32"/>
      <w:szCs w:val="32"/>
    </w:rPr>
  </w:style>
  <w:style w:type="paragraph" w:styleId="GvdeMetni">
    <w:name w:val="Body Text"/>
    <w:basedOn w:val="Normal"/>
    <w:link w:val="GvdeMetniChar"/>
    <w:uiPriority w:val="1"/>
    <w:qFormat/>
    <w:pPr>
      <w:ind w:left="1188" w:hanging="360"/>
    </w:pPr>
    <w:rPr>
      <w:rFonts w:ascii="Calibri" w:hAnsi="Calibri" w:cs="Calibri"/>
      <w:sz w:val="22"/>
      <w:szCs w:val="22"/>
    </w:rPr>
  </w:style>
  <w:style w:type="character" w:customStyle="1" w:styleId="GvdeMetniChar">
    <w:name w:val="Gövde Metni Char"/>
    <w:basedOn w:val="VarsaylanParagrafYazTipi"/>
    <w:link w:val="GvdeMetni"/>
    <w:uiPriority w:val="99"/>
    <w:semiHidden/>
    <w:locked/>
    <w:rPr>
      <w:rFonts w:ascii="Times New Roman" w:hAnsi="Times New Roman" w:cs="Times New Roman"/>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table" w:styleId="TabloKlavuzu">
    <w:name w:val="Table Grid"/>
    <w:basedOn w:val="NormalTablo"/>
    <w:uiPriority w:val="59"/>
    <w:rsid w:val="00EC6D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6DD5"/>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9D02D3"/>
    <w:pPr>
      <w:tabs>
        <w:tab w:val="center" w:pos="4536"/>
        <w:tab w:val="right" w:pos="9072"/>
      </w:tabs>
    </w:pPr>
  </w:style>
  <w:style w:type="character" w:customStyle="1" w:styleId="stbilgiChar">
    <w:name w:val="Üstbilgi Char"/>
    <w:basedOn w:val="VarsaylanParagrafYazTipi"/>
    <w:link w:val="stbilgi"/>
    <w:uiPriority w:val="99"/>
    <w:rsid w:val="009D02D3"/>
    <w:rPr>
      <w:rFonts w:ascii="Times New Roman" w:hAnsi="Times New Roman"/>
      <w:sz w:val="24"/>
      <w:szCs w:val="24"/>
    </w:rPr>
  </w:style>
  <w:style w:type="paragraph" w:styleId="Altbilgi">
    <w:name w:val="footer"/>
    <w:basedOn w:val="Normal"/>
    <w:link w:val="AltbilgiChar"/>
    <w:uiPriority w:val="99"/>
    <w:unhideWhenUsed/>
    <w:rsid w:val="009D02D3"/>
    <w:pPr>
      <w:tabs>
        <w:tab w:val="center" w:pos="4536"/>
        <w:tab w:val="right" w:pos="9072"/>
      </w:tabs>
    </w:pPr>
  </w:style>
  <w:style w:type="character" w:customStyle="1" w:styleId="AltbilgiChar">
    <w:name w:val="Altbilgi Char"/>
    <w:basedOn w:val="VarsaylanParagrafYazTipi"/>
    <w:link w:val="Altbilgi"/>
    <w:uiPriority w:val="99"/>
    <w:rsid w:val="009D02D3"/>
    <w:rPr>
      <w:rFonts w:ascii="Times New Roman" w:hAnsi="Times New Roman"/>
      <w:sz w:val="24"/>
      <w:szCs w:val="24"/>
    </w:rPr>
  </w:style>
  <w:style w:type="paragraph" w:styleId="BalonMetni">
    <w:name w:val="Balloon Text"/>
    <w:basedOn w:val="Normal"/>
    <w:link w:val="BalonMetniChar"/>
    <w:uiPriority w:val="99"/>
    <w:semiHidden/>
    <w:unhideWhenUsed/>
    <w:rsid w:val="00DA1501"/>
    <w:rPr>
      <w:rFonts w:ascii="Tahoma" w:hAnsi="Tahoma" w:cs="Tahoma"/>
      <w:sz w:val="16"/>
      <w:szCs w:val="16"/>
    </w:rPr>
  </w:style>
  <w:style w:type="character" w:customStyle="1" w:styleId="BalonMetniChar">
    <w:name w:val="Balon Metni Char"/>
    <w:basedOn w:val="VarsaylanParagrafYazTipi"/>
    <w:link w:val="BalonMetni"/>
    <w:uiPriority w:val="99"/>
    <w:semiHidden/>
    <w:rsid w:val="00DA15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17941">
      <w:bodyDiv w:val="1"/>
      <w:marLeft w:val="0"/>
      <w:marRight w:val="0"/>
      <w:marTop w:val="0"/>
      <w:marBottom w:val="0"/>
      <w:divBdr>
        <w:top w:val="none" w:sz="0" w:space="0" w:color="auto"/>
        <w:left w:val="none" w:sz="0" w:space="0" w:color="auto"/>
        <w:bottom w:val="none" w:sz="0" w:space="0" w:color="auto"/>
        <w:right w:val="none" w:sz="0" w:space="0" w:color="auto"/>
      </w:divBdr>
    </w:div>
    <w:div w:id="786004723">
      <w:bodyDiv w:val="1"/>
      <w:marLeft w:val="0"/>
      <w:marRight w:val="0"/>
      <w:marTop w:val="0"/>
      <w:marBottom w:val="0"/>
      <w:divBdr>
        <w:top w:val="none" w:sz="0" w:space="0" w:color="auto"/>
        <w:left w:val="none" w:sz="0" w:space="0" w:color="auto"/>
        <w:bottom w:val="none" w:sz="0" w:space="0" w:color="auto"/>
        <w:right w:val="none" w:sz="0" w:space="0" w:color="auto"/>
      </w:divBdr>
    </w:div>
    <w:div w:id="184952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lympos\Desktop\02%20-%20BG_PO_EPOSTA%20KULLANIM%20POLITIKAS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C687E-F971-4817-A9EA-F5D488A7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 BG_PO_EPOSTA KULLANIM POLITIKASI</Template>
  <TotalTime>58</TotalTime>
  <Pages>1</Pages>
  <Words>422</Words>
  <Characters>2408</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olympos</dc:creator>
  <cp:lastModifiedBy>olympos</cp:lastModifiedBy>
  <cp:revision>74</cp:revision>
  <dcterms:created xsi:type="dcterms:W3CDTF">2015-10-22T17:45:00Z</dcterms:created>
  <dcterms:modified xsi:type="dcterms:W3CDTF">2015-11-18T13:30:00Z</dcterms:modified>
</cp:coreProperties>
</file>